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0A71B7">
      <w:pPr>
        <w:ind w:left="3000" w:hanging="3000" w:hangingChars="1000"/>
        <w:rPr>
          <w:rFonts w:ascii="微软雅黑" w:hAnsi="微软雅黑" w:eastAsia="微软雅黑" w:cs="微软雅黑"/>
          <w:b/>
          <w:bCs/>
          <w:sz w:val="32"/>
          <w:szCs w:val="32"/>
        </w:rPr>
      </w:pPr>
      <w:r>
        <w:rPr>
          <w:rFonts w:ascii="仿宋_GB2312" w:hAnsi="仿宋_GB2312" w:eastAsia="仿宋_GB2312" w:cs="仿宋_GB2312"/>
          <w:sz w:val="30"/>
          <w:szCs w:val="3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bookmarkStart w:id="0" w:name="_Toc7935"/>
      <w:r>
        <w:rPr>
          <w:rFonts w:ascii="黑体" w:hAnsi="黑体" w:eastAsia="黑体" w:cs="微软雅黑"/>
          <w:b w:val="0"/>
          <w:bCs/>
          <w:sz w:val="32"/>
          <w:szCs w:val="32"/>
        </w:rPr>
        <w:t>竞争性谈判公告</w:t>
      </w:r>
      <w:bookmarkEnd w:id="0"/>
    </w:p>
    <w:p w14:paraId="4D5F291A">
      <w:pPr>
        <w:spacing w:before="156" w:after="0" w:line="592" w:lineRule="exact"/>
        <w:jc w:val="center"/>
        <w:rPr>
          <w:rFonts w:ascii="宋体" w:hAnsi="宋体" w:eastAsia="宋体" w:cs="宋体"/>
          <w:b/>
          <w:bCs/>
          <w:sz w:val="32"/>
          <w:szCs w:val="32"/>
          <w:lang w:val="zh-CN"/>
        </w:rPr>
      </w:pPr>
      <w:r>
        <w:rPr>
          <w:rFonts w:ascii="方正小标宋简体" w:hAnsi="方正小标宋简体" w:eastAsia="方正小标宋简体" w:cs="宋体"/>
          <w:b w:val="0"/>
          <w:bCs/>
          <w:sz w:val="32"/>
          <w:szCs w:val="32"/>
          <w:lang w:val="zh-CN"/>
        </w:rPr>
        <w:t>济南鲍德冶金石灰石有限公司</w:t>
      </w:r>
    </w:p>
    <w:p w14:paraId="335229D3">
      <w:pPr>
        <w:autoSpaceDE w:val="0"/>
        <w:spacing w:line="540" w:lineRule="exact"/>
        <w:jc w:val="center"/>
        <w:rPr>
          <w:rFonts w:ascii="微软雅黑" w:hAnsi="微软雅黑" w:eastAsia="微软雅黑" w:cs="微软雅黑"/>
          <w:b/>
          <w:bCs/>
          <w:spacing w:val="-20"/>
          <w:sz w:val="32"/>
          <w:szCs w:val="32"/>
          <w:lang w:val="zh-CN"/>
        </w:rPr>
      </w:pPr>
      <w:r>
        <w:rPr>
          <w:rFonts w:hint="eastAsia" w:ascii="方正小标宋简体" w:hAnsi="方正小标宋简体" w:eastAsia="方正小标宋简体" w:cs="宋体"/>
          <w:b w:val="0"/>
          <w:bCs w:val="0"/>
          <w:sz w:val="32"/>
          <w:szCs w:val="32"/>
          <w:lang w:val="en-US" w:eastAsia="zh-CN"/>
        </w:rPr>
        <w:t>编制</w:t>
      </w:r>
      <w:r>
        <w:rPr>
          <w:rFonts w:ascii="方正小标宋简体" w:hAnsi="方正小标宋简体" w:eastAsia="方正小标宋简体" w:cs="宋体"/>
          <w:b w:val="0"/>
          <w:bCs w:val="0"/>
          <w:sz w:val="32"/>
          <w:szCs w:val="32"/>
        </w:rPr>
        <w:t>翟家庄</w:t>
      </w:r>
      <w:r>
        <w:rPr>
          <w:rFonts w:hint="eastAsia" w:ascii="方正小标宋简体" w:hAnsi="方正小标宋简体" w:eastAsia="方正小标宋简体" w:cs="宋体"/>
          <w:b w:val="0"/>
          <w:bCs w:val="0"/>
          <w:sz w:val="32"/>
          <w:szCs w:val="32"/>
          <w:lang w:val="en-US" w:eastAsia="zh-CN"/>
        </w:rPr>
        <w:t>矿区</w:t>
      </w:r>
      <w:r>
        <w:rPr>
          <w:rFonts w:hint="eastAsia" w:ascii="方正小标宋简体" w:hAnsi="方正小标宋简体" w:eastAsia="方正小标宋简体" w:cs="宋体"/>
          <w:b w:val="0"/>
          <w:bCs w:val="0"/>
          <w:sz w:val="32"/>
          <w:szCs w:val="32"/>
          <w:lang w:eastAsia="zh-CN"/>
        </w:rPr>
        <w:t>《可行性研究报告》</w:t>
      </w:r>
    </w:p>
    <w:p w14:paraId="1B8D4185">
      <w:pPr>
        <w:numPr>
          <w:ilvl w:val="0"/>
          <w:numId w:val="2"/>
        </w:numPr>
        <w:spacing w:line="592" w:lineRule="exact"/>
        <w:ind w:left="0" w:firstLine="0"/>
        <w:jc w:val="left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zh-CN"/>
        </w:rPr>
        <w:t>竞争性谈判编号：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1253260617001</w:t>
      </w:r>
    </w:p>
    <w:p w14:paraId="55E5D9E2">
      <w:pPr>
        <w:numPr>
          <w:ilvl w:val="0"/>
          <w:numId w:val="2"/>
        </w:numPr>
        <w:spacing w:line="592" w:lineRule="exact"/>
        <w:ind w:left="0" w:firstLine="0"/>
        <w:jc w:val="left"/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</w:pPr>
      <w:bookmarkStart w:id="1" w:name="_GoBack"/>
      <w:bookmarkEnd w:id="1"/>
      <w:r>
        <w:rPr>
          <w:rFonts w:hint="eastAsia" w:ascii="仿宋" w:hAnsi="仿宋" w:eastAsia="仿宋" w:cs="仿宋"/>
          <w:b/>
          <w:bCs/>
          <w:sz w:val="32"/>
          <w:szCs w:val="32"/>
          <w:lang w:val="zh-CN"/>
        </w:rPr>
        <w:t>竞争性谈判名称：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编制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翟家庄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矿区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《可行性研究报告》</w:t>
      </w:r>
    </w:p>
    <w:p w14:paraId="6BCA2401">
      <w:pPr>
        <w:spacing w:line="592" w:lineRule="exact"/>
        <w:ind w:firstLine="0"/>
        <w:jc w:val="left"/>
        <w:rPr>
          <w:rFonts w:hint="eastAsia" w:ascii="仿宋" w:hAnsi="仿宋" w:eastAsia="仿宋" w:cs="仿宋"/>
          <w:b/>
          <w:bCs/>
          <w:sz w:val="32"/>
          <w:szCs w:val="32"/>
          <w:lang w:val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zh-CN"/>
        </w:rPr>
        <w:t>三、项目概况与招标范围</w:t>
      </w:r>
    </w:p>
    <w:p w14:paraId="7C841072">
      <w:pPr>
        <w:spacing w:line="592" w:lineRule="exact"/>
        <w:ind w:firstLine="640" w:firstLineChars="200"/>
        <w:jc w:val="left"/>
        <w:rPr>
          <w:rFonts w:hint="eastAsia" w:ascii="仿宋" w:hAnsi="仿宋" w:eastAsia="仿宋" w:cs="仿宋"/>
          <w:b w:val="0"/>
          <w:bCs/>
          <w:sz w:val="32"/>
          <w:szCs w:val="32"/>
          <w:lang w:val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zh-CN"/>
        </w:rPr>
        <w:t>1.项目地点：济南鲍德冶金石灰石有限公司翟家庄矿区</w:t>
      </w:r>
    </w:p>
    <w:p w14:paraId="731A11F1">
      <w:pPr>
        <w:spacing w:line="592" w:lineRule="exact"/>
        <w:ind w:firstLine="640" w:firstLineChars="200"/>
        <w:jc w:val="left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zh-CN"/>
        </w:rPr>
        <w:t>2.工期：202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zh-CN"/>
        </w:rPr>
        <w:t>年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zh-CN"/>
        </w:rPr>
        <w:t>月3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zh-CN"/>
        </w:rPr>
        <w:t>日前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编制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zh-CN"/>
        </w:rPr>
        <w:t>完成</w:t>
      </w:r>
    </w:p>
    <w:p w14:paraId="4BF90017">
      <w:pPr>
        <w:spacing w:before="156" w:after="0" w:line="592" w:lineRule="exact"/>
        <w:ind w:firstLine="640" w:firstLineChars="200"/>
        <w:jc w:val="left"/>
        <w:rPr>
          <w:rFonts w:hint="eastAsia" w:ascii="仿宋" w:hAnsi="仿宋" w:eastAsia="仿宋" w:cs="仿宋"/>
          <w:b w:val="0"/>
          <w:bCs/>
          <w:sz w:val="32"/>
          <w:szCs w:val="32"/>
          <w:lang w:val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zh-CN"/>
        </w:rPr>
        <w:t>3.招标范围：此次竞争性谈判采购范围为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编制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zh-CN"/>
        </w:rPr>
        <w:t>翟家庄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矿区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zh-CN"/>
        </w:rPr>
        <w:t>《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可行性研究报告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zh-CN"/>
        </w:rPr>
        <w:t>》。（详见附件）</w:t>
      </w:r>
    </w:p>
    <w:p w14:paraId="4CC2C059">
      <w:pPr>
        <w:spacing w:line="592" w:lineRule="exact"/>
        <w:ind w:firstLine="640" w:firstLineChars="200"/>
        <w:jc w:val="left"/>
        <w:rPr>
          <w:rFonts w:hint="eastAsia" w:ascii="仿宋" w:hAnsi="仿宋" w:eastAsia="仿宋" w:cs="仿宋"/>
          <w:b w:val="0"/>
          <w:bCs/>
          <w:sz w:val="32"/>
          <w:szCs w:val="32"/>
          <w:lang w:val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zh-CN"/>
        </w:rPr>
        <w:t>4.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报告所在地理位置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zh-CN"/>
        </w:rPr>
        <w:t>：济南鲍德冶金石灰石有限公司翟家庄矿区</w:t>
      </w:r>
    </w:p>
    <w:p w14:paraId="50BE64EA">
      <w:pPr>
        <w:spacing w:line="592" w:lineRule="exact"/>
        <w:ind w:firstLine="0"/>
        <w:jc w:val="left"/>
        <w:rPr>
          <w:rFonts w:hint="eastAsia" w:ascii="仿宋" w:hAnsi="仿宋" w:eastAsia="仿宋" w:cs="仿宋"/>
          <w:b/>
          <w:bCs w:val="0"/>
          <w:sz w:val="32"/>
          <w:szCs w:val="32"/>
          <w:lang w:val="zh-CN"/>
        </w:rPr>
      </w:pPr>
      <w:r>
        <w:rPr>
          <w:rFonts w:hint="eastAsia" w:ascii="仿宋" w:hAnsi="仿宋" w:eastAsia="仿宋" w:cs="仿宋"/>
          <w:b/>
          <w:bCs w:val="0"/>
          <w:sz w:val="32"/>
          <w:szCs w:val="32"/>
          <w:lang w:val="zh-CN"/>
        </w:rPr>
        <w:t>四、参与人资格要求</w:t>
      </w:r>
    </w:p>
    <w:p w14:paraId="61BE0447">
      <w:pPr>
        <w:spacing w:line="592" w:lineRule="exact"/>
        <w:ind w:firstLine="640" w:firstLineChars="200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val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zh-CN"/>
        </w:rPr>
        <w:t>1.参与人为依法登记注册的独立法人，具有独立承担民事责任的能力；具有一般纳税人资格；</w:t>
      </w:r>
    </w:p>
    <w:p w14:paraId="35E193CE">
      <w:pPr>
        <w:spacing w:line="592" w:lineRule="exact"/>
        <w:ind w:firstLine="640" w:firstLineChars="200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val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zh-CN"/>
        </w:rPr>
        <w:t>2.具有良好的企业信誉和健全的财务会计制度；</w:t>
      </w:r>
    </w:p>
    <w:p w14:paraId="2C5D7840">
      <w:pPr>
        <w:spacing w:line="592" w:lineRule="exact"/>
        <w:ind w:firstLine="640" w:firstLineChars="200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val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zh-CN"/>
        </w:rPr>
        <w:t>3.具有履行合同必需的设备、专业技术、资质能力（工程咨询资信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乙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zh-CN"/>
        </w:rPr>
        <w:t>级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以上资质）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zh-CN"/>
        </w:rPr>
        <w:t>；</w:t>
      </w:r>
    </w:p>
    <w:p w14:paraId="63AFA2E2">
      <w:pPr>
        <w:spacing w:line="592" w:lineRule="exact"/>
        <w:ind w:firstLine="640" w:firstLineChars="200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val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zh-CN"/>
        </w:rPr>
        <w:t>4.有依法缴纳税收和社会保障金的良好纪录；</w:t>
      </w:r>
    </w:p>
    <w:p w14:paraId="6E4296B6">
      <w:pPr>
        <w:spacing w:line="592" w:lineRule="exact"/>
        <w:ind w:firstLine="640" w:firstLineChars="200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val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zh-CN"/>
        </w:rPr>
        <w:t>5.在济钢集团内经营活动中没有违法记录；</w:t>
      </w:r>
    </w:p>
    <w:p w14:paraId="425F5252">
      <w:pPr>
        <w:spacing w:line="592" w:lineRule="exact"/>
        <w:ind w:firstLine="640" w:firstLineChars="200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val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zh-CN"/>
        </w:rPr>
        <w:t>6.不接受联合体参与；</w:t>
      </w:r>
    </w:p>
    <w:p w14:paraId="4182463E">
      <w:pPr>
        <w:spacing w:line="592" w:lineRule="exact"/>
        <w:ind w:firstLine="640" w:firstLineChars="200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val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zh-CN"/>
        </w:rPr>
        <w:t>7.参与人的单位必须提供原件到现场审核；</w:t>
      </w:r>
    </w:p>
    <w:p w14:paraId="14B431A5">
      <w:pPr>
        <w:spacing w:line="592" w:lineRule="exact"/>
        <w:ind w:firstLine="640" w:firstLineChars="200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val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zh-CN"/>
        </w:rPr>
        <w:t>8.如有单位资料造假，一经发现，立即在网上公示，并永久取消参与资格。</w:t>
      </w:r>
    </w:p>
    <w:p w14:paraId="795AFEFB">
      <w:pPr>
        <w:widowControl/>
        <w:autoSpaceDE w:val="0"/>
        <w:spacing w:line="592" w:lineRule="exact"/>
        <w:ind w:firstLine="0"/>
        <w:jc w:val="left"/>
        <w:rPr>
          <w:rFonts w:hint="eastAsia" w:ascii="仿宋" w:hAnsi="仿宋" w:eastAsia="仿宋" w:cs="仿宋"/>
          <w:b/>
          <w:bCs/>
          <w:kern w:val="0"/>
          <w:sz w:val="32"/>
          <w:szCs w:val="32"/>
          <w:lang w:val="zh-CN"/>
        </w:rPr>
      </w:pPr>
      <w:r>
        <w:rPr>
          <w:rFonts w:hint="eastAsia" w:ascii="仿宋" w:hAnsi="仿宋" w:eastAsia="仿宋" w:cs="仿宋"/>
          <w:b/>
          <w:bCs w:val="0"/>
          <w:kern w:val="0"/>
          <w:sz w:val="32"/>
          <w:szCs w:val="32"/>
          <w:lang w:val="zh-CN"/>
        </w:rPr>
        <w:t>五、公告及报名时间</w:t>
      </w:r>
      <w:r>
        <w:rPr>
          <w:rFonts w:hint="eastAsia" w:ascii="仿宋" w:hAnsi="仿宋" w:eastAsia="仿宋" w:cs="仿宋"/>
          <w:b/>
          <w:bCs/>
          <w:kern w:val="0"/>
          <w:sz w:val="32"/>
          <w:szCs w:val="32"/>
          <w:lang w:val="zh-CN"/>
        </w:rPr>
        <w:t xml:space="preserve"> </w:t>
      </w:r>
    </w:p>
    <w:p w14:paraId="06B6628A">
      <w:pPr>
        <w:spacing w:line="520" w:lineRule="exact"/>
        <w:ind w:left="420" w:leftChars="200" w:firstLine="640" w:firstLineChars="2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</w:rPr>
        <w:t>1.报名方式：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登录www.jigang.com.cn—济钢集团有限公司阳光购销平台或 bidding.jigang.com.cn (网上报名)；使用指南可在网站首页“帮助中心”下载。</w:t>
      </w:r>
    </w:p>
    <w:p w14:paraId="061F7A21">
      <w:pPr>
        <w:spacing w:line="592" w:lineRule="exact"/>
        <w:ind w:firstLine="960" w:firstLineChars="300"/>
        <w:jc w:val="left"/>
        <w:rPr>
          <w:rFonts w:hint="eastAsia" w:ascii="仿宋" w:hAnsi="仿宋" w:eastAsia="仿宋" w:cs="仿宋"/>
          <w:b w:val="0"/>
          <w:bCs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</w:rPr>
        <w:t>2.公告和报名时间：202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年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月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17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日至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月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22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日</w:t>
      </w:r>
    </w:p>
    <w:p w14:paraId="78EBC86F">
      <w:pPr>
        <w:spacing w:line="592" w:lineRule="exact"/>
        <w:ind w:firstLine="960" w:firstLineChars="300"/>
        <w:jc w:val="left"/>
        <w:rPr>
          <w:rFonts w:hint="default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3.开标时间：2026年6月22日上午9：30分</w:t>
      </w:r>
    </w:p>
    <w:p w14:paraId="03031FD1">
      <w:pPr>
        <w:spacing w:line="592" w:lineRule="exact"/>
        <w:ind w:firstLine="960" w:firstLineChars="300"/>
        <w:jc w:val="left"/>
        <w:rPr>
          <w:rFonts w:hint="eastAsia" w:ascii="仿宋" w:hAnsi="仿宋" w:eastAsia="仿宋" w:cs="仿宋"/>
          <w:b w:val="0"/>
          <w:bCs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.踏勘现场：不统一组织踏勘现场，有需求者可联系业务（技术）联系人</w:t>
      </w:r>
    </w:p>
    <w:p w14:paraId="33875FEE">
      <w:pPr>
        <w:widowControl/>
        <w:autoSpaceDE w:val="0"/>
        <w:spacing w:line="592" w:lineRule="exact"/>
        <w:ind w:firstLine="0"/>
        <w:jc w:val="left"/>
        <w:rPr>
          <w:rFonts w:hint="eastAsia" w:ascii="仿宋" w:hAnsi="仿宋" w:eastAsia="仿宋" w:cs="仿宋"/>
          <w:b/>
          <w:bCs w:val="0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bCs w:val="0"/>
          <w:kern w:val="0"/>
          <w:sz w:val="32"/>
          <w:szCs w:val="32"/>
          <w:lang w:val="zh-CN"/>
        </w:rPr>
        <w:t>六、竞争性谈判文件：</w:t>
      </w:r>
    </w:p>
    <w:p w14:paraId="432689A7">
      <w:pPr>
        <w:spacing w:line="592" w:lineRule="exact"/>
        <w:ind w:firstLine="640" w:firstLineChars="200"/>
        <w:jc w:val="left"/>
        <w:rPr>
          <w:rFonts w:hint="eastAsia" w:ascii="仿宋" w:hAnsi="仿宋" w:eastAsia="仿宋" w:cs="仿宋"/>
          <w:b w:val="0"/>
          <w:bCs/>
          <w:sz w:val="32"/>
          <w:szCs w:val="32"/>
          <w:lang w:val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zh-CN"/>
        </w:rPr>
        <w:t>1.发布谈判文件开始时间：2026年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zh-CN"/>
        </w:rPr>
        <w:t>月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17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zh-CN"/>
        </w:rPr>
        <w:t>日；</w:t>
      </w:r>
    </w:p>
    <w:p w14:paraId="78A279E9">
      <w:pPr>
        <w:spacing w:line="592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zh-CN"/>
        </w:rPr>
        <w:t>2.获取方式：缴纳参与保证金后，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登录www.jigang.com.cn—济钢集团有限公司</w:t>
      </w:r>
    </w:p>
    <w:p w14:paraId="701A9C1B">
      <w:pPr>
        <w:spacing w:line="592" w:lineRule="exact"/>
        <w:ind w:firstLine="640" w:firstLineChars="200"/>
        <w:jc w:val="both"/>
        <w:rPr>
          <w:rFonts w:hint="eastAsia" w:ascii="仿宋" w:hAnsi="仿宋" w:eastAsia="仿宋" w:cs="仿宋"/>
          <w:b w:val="0"/>
          <w:bCs/>
          <w:sz w:val="32"/>
          <w:szCs w:val="32"/>
          <w:lang w:val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zh-CN"/>
        </w:rPr>
        <w:t>3.售价：谈判文件免费。</w:t>
      </w:r>
    </w:p>
    <w:p w14:paraId="09BCBD05">
      <w:pPr>
        <w:spacing w:line="592" w:lineRule="exact"/>
        <w:ind w:firstLine="0"/>
        <w:jc w:val="left"/>
        <w:rPr>
          <w:rFonts w:hint="eastAsia" w:ascii="仿宋" w:hAnsi="仿宋" w:eastAsia="仿宋" w:cs="仿宋"/>
          <w:sz w:val="32"/>
          <w:szCs w:val="32"/>
          <w:lang w:val="zh-CN"/>
        </w:rPr>
      </w:pPr>
      <w:r>
        <w:rPr>
          <w:rFonts w:hint="eastAsia" w:ascii="仿宋" w:hAnsi="仿宋" w:eastAsia="仿宋" w:cs="仿宋"/>
          <w:sz w:val="32"/>
          <w:szCs w:val="32"/>
          <w:lang w:val="zh-CN"/>
        </w:rPr>
        <w:t>七、参与保证金：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zh-CN"/>
        </w:rPr>
        <w:t>人民币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贰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zh-CN"/>
        </w:rPr>
        <w:t>仟元整</w:t>
      </w:r>
      <w:r>
        <w:rPr>
          <w:rFonts w:hint="eastAsia" w:ascii="仿宋" w:hAnsi="仿宋" w:eastAsia="仿宋" w:cs="仿宋"/>
          <w:sz w:val="32"/>
          <w:szCs w:val="32"/>
          <w:lang w:val="zh-CN"/>
        </w:rPr>
        <w:t>；</w:t>
      </w:r>
    </w:p>
    <w:p w14:paraId="6EDDDE04">
      <w:pPr>
        <w:spacing w:line="592" w:lineRule="exact"/>
        <w:ind w:firstLine="640" w:firstLineChars="200"/>
        <w:jc w:val="left"/>
        <w:rPr>
          <w:rFonts w:hint="eastAsia" w:ascii="仿宋" w:hAnsi="仿宋" w:eastAsia="仿宋" w:cs="仿宋"/>
          <w:b w:val="0"/>
          <w:bCs/>
          <w:sz w:val="32"/>
          <w:szCs w:val="32"/>
          <w:lang w:val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zh-CN"/>
        </w:rPr>
        <w:t>1.参与保证金最后缴纳日期：2026年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zh-CN"/>
        </w:rPr>
        <w:t>月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21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zh-CN"/>
        </w:rPr>
        <w:t>日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下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zh-CN"/>
        </w:rPr>
        <w:t>午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17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zh-CN"/>
        </w:rPr>
        <w:t>时。逾期缴纳的，参与将被拒绝。</w:t>
      </w:r>
    </w:p>
    <w:p w14:paraId="67B12FDB">
      <w:pPr>
        <w:spacing w:line="592" w:lineRule="exact"/>
        <w:ind w:firstLine="640" w:firstLineChars="200"/>
        <w:jc w:val="left"/>
        <w:rPr>
          <w:rFonts w:hint="eastAsia" w:ascii="仿宋" w:hAnsi="仿宋" w:eastAsia="仿宋" w:cs="仿宋"/>
          <w:b w:val="0"/>
          <w:bCs/>
          <w:sz w:val="32"/>
          <w:szCs w:val="32"/>
          <w:lang w:val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zh-CN"/>
        </w:rPr>
        <w:t>2.参与保证金应从参与人银行基本账户内转出或汇出，为方便退还不出具收据。交款注明招标编号及款项性质（参与保证金）。</w:t>
      </w:r>
    </w:p>
    <w:p w14:paraId="3696D067">
      <w:pPr>
        <w:spacing w:line="592" w:lineRule="exact"/>
        <w:ind w:firstLine="640" w:firstLineChars="200"/>
        <w:jc w:val="left"/>
        <w:rPr>
          <w:rFonts w:hint="eastAsia" w:ascii="仿宋" w:hAnsi="仿宋" w:eastAsia="仿宋" w:cs="仿宋"/>
          <w:b w:val="0"/>
          <w:bCs/>
          <w:sz w:val="32"/>
          <w:szCs w:val="32"/>
          <w:lang w:val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zh-CN"/>
        </w:rPr>
        <w:t>3.缴纳参与保证金账户信息：</w:t>
      </w:r>
    </w:p>
    <w:p w14:paraId="68A8062E">
      <w:pPr>
        <w:spacing w:line="592" w:lineRule="exact"/>
        <w:ind w:firstLine="640"/>
        <w:jc w:val="left"/>
        <w:rPr>
          <w:rFonts w:hint="eastAsia" w:ascii="仿宋" w:hAnsi="仿宋" w:eastAsia="仿宋" w:cs="仿宋"/>
          <w:sz w:val="32"/>
          <w:szCs w:val="32"/>
          <w:lang w:val="zh-CN"/>
        </w:rPr>
      </w:pPr>
      <w:r>
        <w:rPr>
          <w:rFonts w:hint="eastAsia" w:ascii="仿宋" w:hAnsi="仿宋" w:eastAsia="仿宋" w:cs="仿宋"/>
          <w:sz w:val="32"/>
          <w:szCs w:val="32"/>
          <w:lang w:val="zh-CN"/>
        </w:rPr>
        <w:t>名  称：济南鲍德冶金石灰石有限公司</w:t>
      </w:r>
    </w:p>
    <w:p w14:paraId="381ABA79">
      <w:pPr>
        <w:spacing w:line="592" w:lineRule="exact"/>
        <w:ind w:firstLine="640"/>
        <w:jc w:val="left"/>
        <w:rPr>
          <w:rFonts w:hint="eastAsia" w:ascii="仿宋" w:hAnsi="仿宋" w:eastAsia="仿宋" w:cs="仿宋"/>
          <w:sz w:val="32"/>
          <w:szCs w:val="32"/>
          <w:lang w:val="zh-CN"/>
        </w:rPr>
      </w:pPr>
      <w:r>
        <w:rPr>
          <w:rFonts w:hint="eastAsia" w:ascii="仿宋" w:hAnsi="仿宋" w:eastAsia="仿宋" w:cs="仿宋"/>
          <w:sz w:val="32"/>
          <w:szCs w:val="32"/>
          <w:lang w:val="zh-CN"/>
        </w:rPr>
        <w:t>开户行：农行章丘支行埠村分行</w:t>
      </w:r>
    </w:p>
    <w:p w14:paraId="13BC3C7D">
      <w:pPr>
        <w:spacing w:line="592" w:lineRule="exact"/>
        <w:ind w:firstLine="640"/>
        <w:jc w:val="left"/>
        <w:rPr>
          <w:rFonts w:hint="eastAsia" w:ascii="仿宋" w:hAnsi="仿宋" w:eastAsia="仿宋" w:cs="仿宋"/>
          <w:sz w:val="32"/>
          <w:szCs w:val="32"/>
          <w:lang w:val="zh-CN"/>
        </w:rPr>
      </w:pPr>
      <w:r>
        <w:rPr>
          <w:rFonts w:hint="eastAsia" w:ascii="仿宋" w:hAnsi="仿宋" w:eastAsia="仿宋" w:cs="仿宋"/>
          <w:sz w:val="32"/>
          <w:szCs w:val="32"/>
          <w:lang w:val="zh-CN"/>
        </w:rPr>
        <w:t xml:space="preserve">   账  号：15-137301040002949</w:t>
      </w:r>
    </w:p>
    <w:p w14:paraId="06781C7C">
      <w:pPr>
        <w:spacing w:line="592" w:lineRule="exact"/>
        <w:ind w:firstLine="640" w:firstLineChars="200"/>
        <w:jc w:val="left"/>
        <w:rPr>
          <w:rFonts w:hint="eastAsia" w:ascii="仿宋" w:hAnsi="仿宋" w:eastAsia="仿宋" w:cs="仿宋"/>
          <w:b w:val="0"/>
          <w:bCs/>
          <w:sz w:val="32"/>
          <w:szCs w:val="32"/>
          <w:lang w:val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zh-CN"/>
        </w:rPr>
        <w:t>4.参与保证金在合同签订后15日内原账户无息退还。</w:t>
      </w:r>
    </w:p>
    <w:p w14:paraId="682A7F32">
      <w:pPr>
        <w:spacing w:line="592" w:lineRule="exact"/>
        <w:ind w:firstLine="640" w:firstLineChars="200"/>
        <w:jc w:val="left"/>
        <w:rPr>
          <w:rFonts w:hint="eastAsia" w:ascii="仿宋" w:hAnsi="仿宋" w:eastAsia="仿宋" w:cs="仿宋"/>
          <w:b w:val="0"/>
          <w:bCs/>
          <w:sz w:val="32"/>
          <w:szCs w:val="32"/>
          <w:lang w:val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zh-CN"/>
        </w:rPr>
        <w:t>5.在递交参与文件时，携带参与保证金交款回单，以备查验。</w:t>
      </w:r>
    </w:p>
    <w:p w14:paraId="2FD78D68">
      <w:pPr>
        <w:spacing w:line="592" w:lineRule="exact"/>
        <w:ind w:firstLine="0"/>
        <w:jc w:val="left"/>
        <w:rPr>
          <w:rFonts w:hint="eastAsia" w:ascii="仿宋" w:hAnsi="仿宋" w:eastAsia="仿宋" w:cs="仿宋"/>
          <w:b/>
          <w:bCs/>
          <w:sz w:val="32"/>
          <w:szCs w:val="32"/>
          <w:lang w:val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zh-CN"/>
        </w:rPr>
        <w:t>八、参与文件的递交</w:t>
      </w:r>
    </w:p>
    <w:p w14:paraId="058259BA">
      <w:pPr>
        <w:spacing w:line="592" w:lineRule="exact"/>
        <w:ind w:firstLine="640" w:firstLineChars="200"/>
        <w:jc w:val="left"/>
        <w:rPr>
          <w:rFonts w:hint="eastAsia" w:ascii="仿宋" w:hAnsi="仿宋" w:eastAsia="仿宋" w:cs="仿宋"/>
          <w:b w:val="0"/>
          <w:bCs/>
          <w:sz w:val="32"/>
          <w:szCs w:val="32"/>
          <w:lang w:val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zh-CN"/>
        </w:rPr>
        <w:t>1.参与文件递交的截止时间及谈判时间另行通知。</w:t>
      </w:r>
    </w:p>
    <w:p w14:paraId="79C8F623">
      <w:pPr>
        <w:spacing w:line="592" w:lineRule="exact"/>
        <w:ind w:firstLine="640" w:firstLineChars="200"/>
        <w:jc w:val="left"/>
        <w:rPr>
          <w:rFonts w:hint="eastAsia" w:ascii="仿宋" w:hAnsi="仿宋" w:eastAsia="仿宋" w:cs="仿宋"/>
          <w:b w:val="0"/>
          <w:bCs/>
          <w:sz w:val="32"/>
          <w:szCs w:val="32"/>
          <w:lang w:val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zh-CN"/>
        </w:rPr>
        <w:t>2.逾期送达的、未送达指定地点的或者不按照竞争性谈判文件要求密封的参与文件，招标人将予以拒收。</w:t>
      </w:r>
    </w:p>
    <w:p w14:paraId="7DABCDA1">
      <w:pPr>
        <w:spacing w:line="592" w:lineRule="exact"/>
        <w:ind w:firstLine="0"/>
        <w:jc w:val="left"/>
        <w:rPr>
          <w:rFonts w:hint="eastAsia" w:ascii="仿宋" w:hAnsi="仿宋" w:eastAsia="仿宋" w:cs="仿宋"/>
          <w:b/>
          <w:bCs/>
          <w:sz w:val="32"/>
          <w:szCs w:val="32"/>
          <w:lang w:val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zh-CN"/>
        </w:rPr>
        <w:t>九、资格审查方式</w:t>
      </w:r>
    </w:p>
    <w:p w14:paraId="160FEDF7">
      <w:pPr>
        <w:spacing w:line="592" w:lineRule="exact"/>
        <w:ind w:firstLine="640"/>
        <w:jc w:val="left"/>
        <w:rPr>
          <w:rFonts w:hint="eastAsia" w:ascii="仿宋" w:hAnsi="仿宋" w:eastAsia="仿宋" w:cs="仿宋"/>
          <w:sz w:val="32"/>
          <w:szCs w:val="32"/>
          <w:lang w:val="zh-CN"/>
        </w:rPr>
      </w:pPr>
      <w:r>
        <w:rPr>
          <w:rFonts w:hint="eastAsia" w:ascii="仿宋" w:hAnsi="仿宋" w:eastAsia="仿宋" w:cs="仿宋"/>
          <w:sz w:val="32"/>
          <w:szCs w:val="32"/>
          <w:lang w:val="zh-CN"/>
        </w:rPr>
        <w:t>资格后审：竞争性谈判会议开始后，竞争性谈判委员会对参与单位的资质文件进行评审。评审合格的进入下一阶段评审；评审不合格的作废处理，参与文件将被退回。</w:t>
      </w:r>
    </w:p>
    <w:p w14:paraId="72451A83">
      <w:pPr>
        <w:spacing w:line="592" w:lineRule="exact"/>
        <w:ind w:firstLine="0"/>
        <w:jc w:val="left"/>
        <w:rPr>
          <w:rFonts w:hint="eastAsia" w:ascii="仿宋" w:hAnsi="仿宋" w:eastAsia="仿宋" w:cs="仿宋"/>
          <w:b/>
          <w:bCs/>
          <w:sz w:val="32"/>
          <w:szCs w:val="32"/>
          <w:lang w:val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zh-CN"/>
        </w:rPr>
        <w:t>十、发布公告的媒介</w:t>
      </w:r>
    </w:p>
    <w:p w14:paraId="75C1D86B">
      <w:pPr>
        <w:spacing w:line="592" w:lineRule="exact"/>
        <w:ind w:firstLine="640"/>
        <w:jc w:val="left"/>
        <w:rPr>
          <w:rFonts w:hint="eastAsia" w:ascii="仿宋" w:hAnsi="仿宋" w:eastAsia="仿宋" w:cs="仿宋"/>
          <w:sz w:val="32"/>
          <w:szCs w:val="32"/>
          <w:lang w:val="zh-CN"/>
        </w:rPr>
      </w:pPr>
      <w:r>
        <w:rPr>
          <w:rFonts w:hint="eastAsia" w:ascii="仿宋" w:hAnsi="仿宋" w:eastAsia="仿宋" w:cs="仿宋"/>
          <w:sz w:val="32"/>
          <w:szCs w:val="32"/>
          <w:lang w:val="zh-CN"/>
        </w:rPr>
        <w:t>本次谈判公告在济钢集团阳光采购与管理信息平台上发布。</w:t>
      </w:r>
    </w:p>
    <w:p w14:paraId="7025820F">
      <w:pPr>
        <w:spacing w:line="592" w:lineRule="exact"/>
        <w:jc w:val="left"/>
        <w:rPr>
          <w:rFonts w:hint="eastAsia" w:ascii="仿宋" w:hAnsi="仿宋" w:eastAsia="仿宋" w:cs="仿宋"/>
          <w:b/>
          <w:bCs/>
          <w:sz w:val="32"/>
          <w:szCs w:val="32"/>
          <w:lang w:val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zh-CN"/>
        </w:rPr>
        <w:t>十一、联系方式及谈判时间</w:t>
      </w:r>
    </w:p>
    <w:p w14:paraId="556DDFB4">
      <w:pPr>
        <w:spacing w:line="592" w:lineRule="exact"/>
        <w:ind w:firstLine="640" w:firstLineChars="200"/>
        <w:jc w:val="left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zh-CN"/>
        </w:rPr>
        <w:t>1.招标联系人：郑工，联系电话：15098838165；</w:t>
      </w:r>
    </w:p>
    <w:p w14:paraId="3DE6F212">
      <w:pPr>
        <w:spacing w:line="592" w:lineRule="exact"/>
        <w:ind w:firstLine="640" w:firstLineChars="200"/>
        <w:jc w:val="left"/>
        <w:rPr>
          <w:rFonts w:hint="eastAsia" w:ascii="仿宋" w:hAnsi="仿宋" w:eastAsia="仿宋" w:cs="仿宋"/>
          <w:b w:val="0"/>
          <w:bCs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zh-CN"/>
        </w:rPr>
        <w:t>2.业务（技术）联系人：路工，联系电话：15106913691</w:t>
      </w:r>
    </w:p>
    <w:p w14:paraId="0B3642F1">
      <w:pPr>
        <w:spacing w:line="592" w:lineRule="exact"/>
        <w:ind w:firstLine="640"/>
        <w:jc w:val="left"/>
        <w:rPr>
          <w:rFonts w:hint="eastAsia" w:ascii="仿宋" w:hAnsi="仿宋" w:eastAsia="仿宋" w:cs="仿宋"/>
          <w:sz w:val="32"/>
          <w:szCs w:val="32"/>
          <w:lang w:val="zh-CN"/>
        </w:rPr>
      </w:pPr>
      <w:r>
        <w:rPr>
          <w:rFonts w:hint="eastAsia" w:ascii="仿宋" w:hAnsi="仿宋" w:eastAsia="仿宋" w:cs="仿宋"/>
          <w:sz w:val="32"/>
          <w:szCs w:val="32"/>
        </w:rPr>
        <w:t>谈判时间另行电话通知，</w:t>
      </w:r>
      <w:r>
        <w:rPr>
          <w:rFonts w:hint="eastAsia" w:ascii="仿宋" w:hAnsi="仿宋" w:eastAsia="仿宋" w:cs="仿宋"/>
          <w:sz w:val="32"/>
          <w:szCs w:val="32"/>
          <w:lang w:val="zh-CN"/>
        </w:rPr>
        <w:t>地点为济南鲍德冶金石灰石有限公司一楼东会议室。</w:t>
      </w:r>
    </w:p>
    <w:p w14:paraId="3D7412CD">
      <w:pPr>
        <w:spacing w:line="592" w:lineRule="exact"/>
        <w:ind w:firstLine="0"/>
        <w:jc w:val="left"/>
        <w:rPr>
          <w:rFonts w:hint="eastAsia" w:ascii="仿宋" w:hAnsi="仿宋" w:eastAsia="仿宋" w:cs="仿宋"/>
          <w:b/>
          <w:bCs/>
          <w:sz w:val="32"/>
          <w:szCs w:val="32"/>
          <w:lang w:val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zh-CN"/>
        </w:rPr>
        <w:t>十二、谈判内容和其他要求以最终的谈判文件为准。</w:t>
      </w:r>
    </w:p>
    <w:p w14:paraId="1652C947">
      <w:pPr>
        <w:spacing w:line="592" w:lineRule="exact"/>
        <w:ind w:firstLine="0"/>
        <w:jc w:val="center"/>
        <w:rPr>
          <w:rFonts w:hint="eastAsia" w:ascii="仿宋" w:hAnsi="仿宋" w:eastAsia="仿宋" w:cs="仿宋"/>
          <w:sz w:val="32"/>
          <w:szCs w:val="32"/>
          <w:lang w:val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</w:t>
      </w:r>
      <w:r>
        <w:rPr>
          <w:rFonts w:hint="eastAsia" w:ascii="仿宋" w:hAnsi="仿宋" w:eastAsia="仿宋" w:cs="仿宋"/>
          <w:sz w:val="32"/>
          <w:szCs w:val="32"/>
          <w:lang w:val="zh-CN"/>
        </w:rPr>
        <w:t>济南鲍德冶金石灰石有限公司</w:t>
      </w:r>
    </w:p>
    <w:p w14:paraId="7C1943E5">
      <w:pPr>
        <w:spacing w:line="592" w:lineRule="exact"/>
        <w:ind w:firstLine="0"/>
        <w:jc w:val="center"/>
        <w:rPr>
          <w:rFonts w:hint="eastAsia" w:ascii="仿宋" w:hAnsi="仿宋" w:eastAsia="仿宋" w:cs="仿宋"/>
          <w:color w:val="FF0000"/>
          <w:sz w:val="32"/>
          <w:szCs w:val="32"/>
          <w:lang w:val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</w:t>
      </w:r>
      <w:r>
        <w:rPr>
          <w:rFonts w:hint="eastAsia" w:ascii="仿宋" w:hAnsi="仿宋" w:eastAsia="仿宋" w:cs="仿宋"/>
          <w:sz w:val="32"/>
          <w:szCs w:val="32"/>
          <w:lang w:val="zh-CN"/>
        </w:rPr>
        <w:t>2026年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  <w:lang w:val="zh-CN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17</w:t>
      </w:r>
      <w:r>
        <w:rPr>
          <w:rFonts w:hint="eastAsia" w:ascii="仿宋" w:hAnsi="仿宋" w:eastAsia="仿宋" w:cs="仿宋"/>
          <w:sz w:val="32"/>
          <w:szCs w:val="32"/>
          <w:lang w:val="zh-CN"/>
        </w:rPr>
        <w:t xml:space="preserve">日 </w:t>
      </w:r>
    </w:p>
    <w:p w14:paraId="030748DE">
      <w:pPr>
        <w:spacing w:line="592" w:lineRule="exact"/>
        <w:jc w:val="left"/>
        <w:rPr>
          <w:rFonts w:hint="eastAsia" w:ascii="仿宋" w:hAnsi="仿宋" w:eastAsia="仿宋" w:cs="仿宋"/>
          <w:sz w:val="32"/>
          <w:szCs w:val="32"/>
          <w:lang w:val="zh-CN"/>
        </w:rPr>
      </w:pPr>
      <w:r>
        <w:rPr>
          <w:rFonts w:hint="eastAsia" w:ascii="仿宋" w:hAnsi="仿宋" w:eastAsia="仿宋" w:cs="仿宋"/>
          <w:sz w:val="32"/>
          <w:szCs w:val="32"/>
          <w:lang w:val="zh-CN"/>
        </w:rPr>
        <w:t>附件：</w:t>
      </w:r>
    </w:p>
    <w:tbl>
      <w:tblPr>
        <w:tblStyle w:val="11"/>
        <w:tblW w:w="8555" w:type="dxa"/>
        <w:jc w:val="center"/>
        <w:tblLayout w:type="fixed"/>
        <w:tblCellMar>
          <w:top w:w="15" w:type="dxa"/>
          <w:left w:w="15" w:type="dxa"/>
          <w:bottom w:w="0" w:type="dxa"/>
          <w:right w:w="15" w:type="dxa"/>
        </w:tblCellMar>
      </w:tblPr>
      <w:tblGrid>
        <w:gridCol w:w="2651"/>
        <w:gridCol w:w="2340"/>
        <w:gridCol w:w="2400"/>
        <w:gridCol w:w="1164"/>
      </w:tblGrid>
      <w:tr w14:paraId="122E8868"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708" w:hRule="atLeast"/>
          <w:jc w:val="center"/>
        </w:trPr>
        <w:tc>
          <w:tcPr>
            <w:tcW w:w="26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51916B2">
            <w:pPr>
              <w:pStyle w:val="28"/>
              <w:spacing w:before="100" w:after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项目</w:t>
            </w:r>
          </w:p>
        </w:tc>
        <w:tc>
          <w:tcPr>
            <w:tcW w:w="23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B55AFA5">
            <w:pPr>
              <w:pStyle w:val="28"/>
              <w:spacing w:before="100" w:after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规格</w:t>
            </w:r>
          </w:p>
        </w:tc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A14CC45">
            <w:pPr>
              <w:pStyle w:val="28"/>
              <w:spacing w:before="100" w:after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数量</w:t>
            </w:r>
          </w:p>
        </w:tc>
        <w:tc>
          <w:tcPr>
            <w:tcW w:w="11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8C1F186">
            <w:pPr>
              <w:pStyle w:val="28"/>
              <w:spacing w:before="100" w:after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单价（含税）</w:t>
            </w:r>
          </w:p>
        </w:tc>
      </w:tr>
      <w:tr w14:paraId="75EA23E7"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504" w:hRule="atLeast"/>
          <w:jc w:val="center"/>
        </w:trPr>
        <w:tc>
          <w:tcPr>
            <w:tcW w:w="26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FC89EA7">
            <w:pPr>
              <w:spacing w:before="156" w:after="0" w:line="480" w:lineRule="auto"/>
              <w:jc w:val="center"/>
              <w:rPr>
                <w:rFonts w:hint="default" w:ascii="仿宋" w:hAnsi="仿宋" w:eastAsia="仿宋" w:cs="仿宋"/>
                <w:b w:val="0"/>
                <w:bCs/>
                <w:spacing w:val="-20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lang w:val="en-US" w:eastAsia="zh-CN"/>
              </w:rPr>
              <w:t xml:space="preserve">   完成编制翟家庄矿区《可行性研究报告》</w:t>
            </w:r>
            <w:r>
              <w:rPr>
                <w:rFonts w:hint="eastAsia" w:ascii="仿宋" w:hAnsi="仿宋" w:eastAsia="仿宋" w:cs="仿宋"/>
                <w:b w:val="0"/>
                <w:bCs/>
                <w:spacing w:val="-20"/>
                <w:sz w:val="28"/>
                <w:szCs w:val="28"/>
                <w:lang w:val="en-US" w:eastAsia="zh-CN"/>
              </w:rPr>
              <w:t>工作，满足扩大生产规模在章丘区行政审批服务局备案要求。</w:t>
            </w:r>
          </w:p>
          <w:p w14:paraId="6E1A45AE">
            <w:pPr>
              <w:pStyle w:val="28"/>
              <w:spacing w:before="100" w:after="0"/>
              <w:jc w:val="center"/>
              <w:rPr>
                <w:rFonts w:hint="eastAsia" w:ascii="仿宋" w:hAnsi="仿宋" w:eastAsia="仿宋" w:cs="仿宋"/>
                <w:b w:val="0"/>
                <w:bCs/>
                <w:spacing w:val="-20"/>
                <w:sz w:val="28"/>
                <w:szCs w:val="28"/>
                <w:lang w:val="en-US"/>
              </w:rPr>
            </w:pPr>
          </w:p>
        </w:tc>
        <w:tc>
          <w:tcPr>
            <w:tcW w:w="23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61BA76A">
            <w:pPr>
              <w:widowControl/>
              <w:spacing w:line="580" w:lineRule="exact"/>
              <w:ind w:firstLine="56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pacing w:val="-20"/>
                <w:sz w:val="28"/>
                <w:szCs w:val="28"/>
                <w:lang w:val="en-US" w:eastAsia="zh-CN"/>
              </w:rPr>
              <w:t>《可行性研究报告》满足扩大生产规模在章丘区行政审批服务局备案要求。</w:t>
            </w:r>
          </w:p>
          <w:p w14:paraId="111C8D06">
            <w:pPr>
              <w:pStyle w:val="28"/>
              <w:spacing w:before="100" w:after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shd w:val="clear" w:fill="FFFFFF"/>
                <w:lang w:val="en-US" w:eastAsia="zh-CN"/>
              </w:rPr>
            </w:pPr>
          </w:p>
        </w:tc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F918190">
            <w:pPr>
              <w:pStyle w:val="28"/>
              <w:spacing w:before="100" w:after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pacing w:val="-20"/>
                <w:sz w:val="28"/>
                <w:szCs w:val="28"/>
                <w:lang w:val="en-US" w:eastAsia="zh-CN"/>
              </w:rPr>
              <w:t>纸质资料8份，电子资料1份</w:t>
            </w:r>
          </w:p>
        </w:tc>
        <w:tc>
          <w:tcPr>
            <w:tcW w:w="11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4F08813">
            <w:pPr>
              <w:pStyle w:val="28"/>
              <w:spacing w:before="100" w:after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6%的专用增值税发票</w:t>
            </w:r>
          </w:p>
        </w:tc>
      </w:tr>
    </w:tbl>
    <w:p w14:paraId="3194924D">
      <w:pPr>
        <w:spacing w:line="360" w:lineRule="auto"/>
        <w:rPr>
          <w:rFonts w:hint="eastAsia" w:ascii="仿宋" w:hAnsi="仿宋" w:eastAsia="仿宋" w:cs="仿宋"/>
          <w:color w:val="000000"/>
          <w:sz w:val="32"/>
          <w:szCs w:val="32"/>
        </w:rPr>
      </w:pPr>
    </w:p>
    <w:sectPr>
      <w:footerReference r:id="rId3" w:type="default"/>
      <w:pgSz w:w="11906" w:h="16838"/>
      <w:pgMar w:top="1984" w:right="1531" w:bottom="1814" w:left="1531" w:header="0" w:footer="992" w:gutter="0"/>
      <w:pgNumType w:fmt="decimal"/>
      <w:cols w:space="720" w:num="1"/>
      <w:formProt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W-Ka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DejaVu Sans">
    <w:altName w:val="Segoe Print"/>
    <w:panose1 w:val="00000000000000000000"/>
    <w:charset w:val="01"/>
    <w:family w:val="swiss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3FC0F2">
    <w:pPr>
      <w:pStyle w:val="7"/>
      <w:jc w:val="center"/>
    </w:pPr>
    <w:r>
      <w:rPr>
        <w:rStyle w:val="13"/>
      </w:rPr>
      <w:fldChar w:fldCharType="begin"/>
    </w:r>
    <w:r>
      <w:rPr>
        <w:rStyle w:val="13"/>
      </w:rPr>
      <w:instrText xml:space="preserve"> PAGE </w:instrText>
    </w:r>
    <w:r>
      <w:rPr>
        <w:rStyle w:val="13"/>
      </w:rPr>
      <w:fldChar w:fldCharType="separate"/>
    </w:r>
    <w:r>
      <w:rPr>
        <w:rStyle w:val="13"/>
      </w:rPr>
      <w:t>25</w:t>
    </w:r>
    <w:r>
      <w:rPr>
        <w:rStyle w:val="13"/>
      </w:rPr>
      <w:fldChar w:fldCharType="end"/>
    </w:r>
  </w:p>
  <w:p w14:paraId="4997E878">
    <w:pPr>
      <w:pStyle w:val="7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AAD5315"/>
    <w:multiLevelType w:val="singleLevel"/>
    <w:tmpl w:val="CAAD531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053208E"/>
    <w:multiLevelType w:val="multilevel"/>
    <w:tmpl w:val="0053208E"/>
    <w:lvl w:ilvl="0" w:tentative="0">
      <w:start w:val="1"/>
      <w:numFmt w:val="none"/>
      <w:pStyle w:val="2"/>
      <w:suff w:val="nothing"/>
      <w:lvlText w:val=""/>
      <w:lvlJc w:val="left"/>
      <w:pPr>
        <w:tabs>
          <w:tab w:val="left" w:pos="0"/>
        </w:tabs>
        <w:ind w:left="0" w:firstLine="0"/>
      </w:pPr>
    </w:lvl>
    <w:lvl w:ilvl="1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2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3" w:tentative="0">
      <w:start w:val="1"/>
      <w:numFmt w:val="none"/>
      <w:pStyle w:val="3"/>
      <w:suff w:val="nothing"/>
      <w:lvlText w:val=""/>
      <w:lvlJc w:val="left"/>
      <w:pPr>
        <w:tabs>
          <w:tab w:val="left" w:pos="0"/>
        </w:tabs>
        <w:ind w:left="0" w:firstLine="0"/>
      </w:pPr>
    </w:lvl>
    <w:lvl w:ilvl="4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bordersDoNotSurroundHeader w:val="0"/>
  <w:bordersDoNotSurroundFooter w:val="0"/>
  <w:documentProtection w:enforcement="0"/>
  <w:defaultTabStop w:val="420"/>
  <w:autoHyphenation/>
  <w:displayHorizontalDrawingGridEvery w:val="1"/>
  <w:displayVerticalDrawingGridEvery w:val="1"/>
  <w:noPunctuationKerning w:val="1"/>
  <w:compat>
    <w:noLeading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000000"/>
    <w:rsid w:val="093F6F9B"/>
    <w:rsid w:val="0CDB2C71"/>
    <w:rsid w:val="0EAA3109"/>
    <w:rsid w:val="0F6C03BE"/>
    <w:rsid w:val="139D323C"/>
    <w:rsid w:val="166E2C6E"/>
    <w:rsid w:val="198A6011"/>
    <w:rsid w:val="1AD6184D"/>
    <w:rsid w:val="1E355E20"/>
    <w:rsid w:val="201B5C14"/>
    <w:rsid w:val="24724271"/>
    <w:rsid w:val="24E24F53"/>
    <w:rsid w:val="27AE7016"/>
    <w:rsid w:val="2C477D91"/>
    <w:rsid w:val="2DAD00C8"/>
    <w:rsid w:val="2EE713B8"/>
    <w:rsid w:val="37B26A07"/>
    <w:rsid w:val="39186D3D"/>
    <w:rsid w:val="3BCB0097"/>
    <w:rsid w:val="3D7133D0"/>
    <w:rsid w:val="42D27F5D"/>
    <w:rsid w:val="430026ED"/>
    <w:rsid w:val="4CAD5597"/>
    <w:rsid w:val="4DC461B8"/>
    <w:rsid w:val="4F691C49"/>
    <w:rsid w:val="50F46E74"/>
    <w:rsid w:val="53360A4E"/>
    <w:rsid w:val="54040192"/>
    <w:rsid w:val="55034BAA"/>
    <w:rsid w:val="551268DF"/>
    <w:rsid w:val="5580085F"/>
    <w:rsid w:val="565F7902"/>
    <w:rsid w:val="5C907B2A"/>
    <w:rsid w:val="626A5FAC"/>
    <w:rsid w:val="6BCD4B25"/>
    <w:rsid w:val="6F3D2FE8"/>
    <w:rsid w:val="74934EE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jc w:val="both"/>
    </w:pPr>
    <w:rPr>
      <w:rFonts w:ascii="Times New Roman" w:hAnsi="Times New Roman" w:eastAsia="宋体" w:cs="Times New Roman"/>
      <w:color w:val="auto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340" w:after="330" w:line="576" w:lineRule="auto"/>
      <w:outlineLvl w:val="0"/>
    </w:pPr>
    <w:rPr>
      <w:b/>
      <w:bCs/>
      <w:kern w:val="2"/>
      <w:sz w:val="44"/>
      <w:szCs w:val="44"/>
    </w:rPr>
  </w:style>
  <w:style w:type="paragraph" w:styleId="3">
    <w:name w:val="heading 4"/>
    <w:basedOn w:val="1"/>
    <w:next w:val="1"/>
    <w:qFormat/>
    <w:uiPriority w:val="0"/>
    <w:pPr>
      <w:keepNext/>
      <w:keepLines/>
      <w:numPr>
        <w:ilvl w:val="3"/>
        <w:numId w:val="1"/>
      </w:numPr>
      <w:spacing w:before="280" w:after="290" w:line="374" w:lineRule="auto"/>
      <w:outlineLvl w:val="3"/>
    </w:pPr>
    <w:rPr>
      <w:rFonts w:ascii="Arial" w:hAnsi="Arial" w:eastAsia="黑体" w:cs="Arial"/>
      <w:b/>
      <w:bCs/>
      <w:sz w:val="28"/>
      <w:szCs w:val="28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caption"/>
    <w:basedOn w:val="1"/>
    <w:qFormat/>
    <w:uiPriority w:val="0"/>
    <w:pPr>
      <w:suppressLineNumbers/>
      <w:spacing w:before="120" w:after="120"/>
    </w:pPr>
    <w:rPr>
      <w:rFonts w:cs="TW-Kai"/>
      <w:i/>
      <w:iCs/>
      <w:sz w:val="24"/>
      <w:szCs w:val="24"/>
    </w:rPr>
  </w:style>
  <w:style w:type="paragraph" w:styleId="5">
    <w:name w:val="Body Text"/>
    <w:basedOn w:val="1"/>
    <w:qFormat/>
    <w:uiPriority w:val="0"/>
    <w:pPr>
      <w:spacing w:before="0" w:after="140" w:line="276" w:lineRule="auto"/>
    </w:pPr>
  </w:style>
  <w:style w:type="paragraph" w:styleId="6">
    <w:name w:val="Body Text Indent"/>
    <w:basedOn w:val="1"/>
    <w:qFormat/>
    <w:uiPriority w:val="0"/>
    <w:pPr>
      <w:ind w:firstLine="640"/>
    </w:pPr>
    <w:rPr>
      <w:spacing w:val="20"/>
      <w:sz w:val="2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cs="Calibri"/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toc 1"/>
    <w:basedOn w:val="1"/>
    <w:next w:val="1"/>
    <w:qFormat/>
    <w:uiPriority w:val="0"/>
    <w:pPr>
      <w:spacing w:before="120" w:after="120"/>
      <w:jc w:val="left"/>
    </w:pPr>
    <w:rPr>
      <w:rFonts w:ascii="Calibri" w:hAnsi="Calibri" w:cs="Calibri"/>
      <w:b/>
      <w:bCs/>
      <w:caps/>
      <w:sz w:val="20"/>
      <w:szCs w:val="20"/>
    </w:rPr>
  </w:style>
  <w:style w:type="paragraph" w:styleId="10">
    <w:name w:val="List"/>
    <w:basedOn w:val="5"/>
    <w:qFormat/>
    <w:uiPriority w:val="0"/>
    <w:rPr>
      <w:rFonts w:cs="TW-Kai"/>
    </w:rPr>
  </w:style>
  <w:style w:type="character" w:styleId="13">
    <w:name w:val="page number"/>
    <w:basedOn w:val="14"/>
    <w:qFormat/>
    <w:uiPriority w:val="0"/>
    <w:rPr>
      <w:rFonts w:cs="Times New Roman"/>
    </w:rPr>
  </w:style>
  <w:style w:type="character" w:customStyle="1" w:styleId="14">
    <w:name w:val="默认段落字体1"/>
    <w:qFormat/>
    <w:uiPriority w:val="0"/>
  </w:style>
  <w:style w:type="character" w:styleId="15">
    <w:name w:val="Hyperlink"/>
    <w:qFormat/>
    <w:uiPriority w:val="0"/>
    <w:rPr>
      <w:color w:val="000080"/>
      <w:u w:val="single"/>
    </w:rPr>
  </w:style>
  <w:style w:type="character" w:customStyle="1" w:styleId="16">
    <w:name w:val="WW8Num1z0"/>
    <w:qFormat/>
    <w:uiPriority w:val="0"/>
    <w:rPr>
      <w:rFonts w:cs="Times New Roman"/>
    </w:rPr>
  </w:style>
  <w:style w:type="character" w:customStyle="1" w:styleId="17">
    <w:name w:val="WW8Num2z0"/>
    <w:qFormat/>
    <w:uiPriority w:val="0"/>
  </w:style>
  <w:style w:type="character" w:customStyle="1" w:styleId="18">
    <w:name w:val="WW8Num3z0"/>
    <w:qFormat/>
    <w:uiPriority w:val="0"/>
    <w:rPr>
      <w:rFonts w:cs="Times New Roman"/>
    </w:rPr>
  </w:style>
  <w:style w:type="character" w:customStyle="1" w:styleId="19">
    <w:name w:val="Heading 1 Char"/>
    <w:basedOn w:val="14"/>
    <w:qFormat/>
    <w:uiPriority w:val="0"/>
    <w:rPr>
      <w:rFonts w:eastAsia="宋体"/>
      <w:b/>
      <w:bCs/>
      <w:kern w:val="2"/>
      <w:sz w:val="44"/>
      <w:szCs w:val="44"/>
      <w:lang w:val="en-US" w:eastAsia="zh-CN" w:bidi="ar-SA"/>
    </w:rPr>
  </w:style>
  <w:style w:type="character" w:customStyle="1" w:styleId="20">
    <w:name w:val="Footer Char"/>
    <w:basedOn w:val="14"/>
    <w:qFormat/>
    <w:uiPriority w:val="0"/>
    <w:rPr>
      <w:rFonts w:ascii="Calibri" w:hAnsi="Calibri" w:eastAsia="宋体" w:cs="Calibri"/>
      <w:kern w:val="2"/>
      <w:sz w:val="18"/>
      <w:szCs w:val="18"/>
      <w:lang w:val="en-US" w:eastAsia="zh-CN" w:bidi="ar-SA"/>
    </w:rPr>
  </w:style>
  <w:style w:type="character" w:customStyle="1" w:styleId="21">
    <w:name w:val="A标题4 Char"/>
    <w:basedOn w:val="14"/>
    <w:qFormat/>
    <w:uiPriority w:val="0"/>
    <w:rPr>
      <w:rFonts w:ascii="Cambria" w:hAnsi="Cambria" w:eastAsia="宋体" w:cs="Cambria"/>
      <w:b/>
      <w:bCs/>
      <w:sz w:val="28"/>
      <w:szCs w:val="28"/>
      <w:lang w:bidi="ar-SA"/>
    </w:rPr>
  </w:style>
  <w:style w:type="character" w:customStyle="1" w:styleId="22">
    <w:name w:val="三级 Char"/>
    <w:basedOn w:val="21"/>
    <w:qFormat/>
    <w:uiPriority w:val="0"/>
    <w:rPr>
      <w:rFonts w:ascii="宋体" w:hAnsi="宋体" w:cs="宋体"/>
      <w:sz w:val="24"/>
      <w:szCs w:val="24"/>
    </w:rPr>
  </w:style>
  <w:style w:type="character" w:customStyle="1" w:styleId="23">
    <w:name w:val="二级 Char"/>
    <w:basedOn w:val="21"/>
    <w:qFormat/>
    <w:uiPriority w:val="0"/>
    <w:rPr>
      <w:rFonts w:ascii="宋体" w:hAnsi="宋体" w:cs="宋体"/>
    </w:rPr>
  </w:style>
  <w:style w:type="character" w:customStyle="1" w:styleId="24">
    <w:name w:val="Index Link"/>
    <w:qFormat/>
    <w:uiPriority w:val="0"/>
  </w:style>
  <w:style w:type="paragraph" w:customStyle="1" w:styleId="25">
    <w:name w:val="Heading"/>
    <w:basedOn w:val="1"/>
    <w:next w:val="5"/>
    <w:qFormat/>
    <w:uiPriority w:val="0"/>
    <w:pPr>
      <w:keepNext/>
      <w:spacing w:before="240" w:after="120"/>
    </w:pPr>
    <w:rPr>
      <w:rFonts w:ascii="DejaVu Sans" w:hAnsi="DejaVu Sans" w:eastAsia="微软雅黑" w:cs="TW-Kai"/>
      <w:sz w:val="28"/>
      <w:szCs w:val="28"/>
    </w:rPr>
  </w:style>
  <w:style w:type="paragraph" w:customStyle="1" w:styleId="26">
    <w:name w:val="Index"/>
    <w:basedOn w:val="1"/>
    <w:qFormat/>
    <w:uiPriority w:val="0"/>
    <w:pPr>
      <w:suppressLineNumbers/>
    </w:pPr>
    <w:rPr>
      <w:rFonts w:cs="TW-Kai"/>
    </w:rPr>
  </w:style>
  <w:style w:type="paragraph" w:customStyle="1" w:styleId="27">
    <w:name w:val="Header and Footer"/>
    <w:basedOn w:val="1"/>
    <w:qFormat/>
    <w:uiPriority w:val="0"/>
    <w:pPr>
      <w:suppressLineNumbers/>
      <w:tabs>
        <w:tab w:val="center" w:pos="4819"/>
        <w:tab w:val="right" w:pos="9638"/>
      </w:tabs>
    </w:pPr>
  </w:style>
  <w:style w:type="paragraph" w:customStyle="1" w:styleId="28">
    <w:name w:val="普通(网站)1"/>
    <w:basedOn w:val="1"/>
    <w:qFormat/>
    <w:uiPriority w:val="0"/>
    <w:pPr>
      <w:widowControl/>
      <w:spacing w:before="100" w:after="100"/>
      <w:jc w:val="left"/>
    </w:pPr>
    <w:rPr>
      <w:rFonts w:ascii="宋体" w:hAnsi="宋体" w:cs="宋体"/>
      <w:kern w:val="0"/>
      <w:sz w:val="24"/>
      <w:szCs w:val="21"/>
    </w:rPr>
  </w:style>
  <w:style w:type="paragraph" w:customStyle="1" w:styleId="29">
    <w:name w:val="A标题4"/>
    <w:basedOn w:val="3"/>
    <w:next w:val="1"/>
    <w:qFormat/>
    <w:uiPriority w:val="0"/>
    <w:pPr>
      <w:keepNext w:val="0"/>
      <w:keepLines w:val="0"/>
      <w:numPr>
        <w:ilvl w:val="0"/>
        <w:numId w:val="0"/>
      </w:numPr>
      <w:tabs>
        <w:tab w:val="left" w:pos="851"/>
      </w:tabs>
      <w:spacing w:before="0" w:after="80" w:line="360" w:lineRule="auto"/>
      <w:ind w:left="851" w:hanging="851"/>
      <w:outlineLvl w:val="9"/>
    </w:pPr>
    <w:rPr>
      <w:rFonts w:ascii="Cambria" w:hAnsi="Cambria" w:eastAsia="宋体" w:cs="Cambria"/>
      <w:kern w:val="0"/>
      <w:lang w:val="en-US" w:eastAsia="en-US"/>
    </w:rPr>
  </w:style>
  <w:style w:type="paragraph" w:customStyle="1" w:styleId="30">
    <w:name w:val="三级"/>
    <w:basedOn w:val="29"/>
    <w:qFormat/>
    <w:uiPriority w:val="0"/>
    <w:rPr>
      <w:rFonts w:ascii="宋体" w:hAnsi="宋体" w:cs="宋体"/>
      <w:sz w:val="24"/>
      <w:szCs w:val="24"/>
    </w:rPr>
  </w:style>
  <w:style w:type="paragraph" w:customStyle="1" w:styleId="31">
    <w:name w:val="二级"/>
    <w:basedOn w:val="29"/>
    <w:qFormat/>
    <w:uiPriority w:val="0"/>
    <w:pPr>
      <w:jc w:val="center"/>
    </w:pPr>
    <w:rPr>
      <w:rFonts w:ascii="宋体" w:hAnsi="宋体" w:cs="宋体"/>
    </w:rPr>
  </w:style>
  <w:style w:type="paragraph" w:customStyle="1" w:styleId="32">
    <w:name w:val="Table Contents"/>
    <w:basedOn w:val="1"/>
    <w:qFormat/>
    <w:uiPriority w:val="0"/>
    <w:pPr>
      <w:widowControl w:val="0"/>
      <w:suppressLineNumbers/>
    </w:pPr>
  </w:style>
  <w:style w:type="paragraph" w:customStyle="1" w:styleId="33">
    <w:name w:val="Table Heading"/>
    <w:basedOn w:val="32"/>
    <w:qFormat/>
    <w:uiPriority w:val="0"/>
    <w:pPr>
      <w:suppressLineNumbers/>
      <w:jc w:val="center"/>
    </w:pPr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1237</Words>
  <Characters>1383</Characters>
  <TotalTime>2</TotalTime>
  <ScaleCrop>false</ScaleCrop>
  <LinksUpToDate>false</LinksUpToDate>
  <CharactersWithSpaces>1770</CharactersWithSpaces>
  <Application>WPS Office_12.1.0.26895_F1E327BC-269C-435d-A152-05C5408002CA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2022-06-27T02:34:00Z</dcterms:created>
  <dc:creator>公文管理员-鲍德石灰石</dc:creator>
  <cp:lastModifiedBy>换个名字吧</cp:lastModifiedBy>
  <dcterms:modified xsi:type="dcterms:W3CDTF">2026-06-17T00:14:15Z</dcterms:modified>
  <dc:title>                                                                                                                                                                                                                                                              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36D8BE7C9FA442BDABFA77CBE7077B6D</vt:lpwstr>
  </property>
  <property fmtid="{D5CDD505-2E9C-101B-9397-08002B2CF9AE}" pid="3" name="KSOProductBuildVer">
    <vt:lpwstr>2052-12.1.0.26895</vt:lpwstr>
  </property>
  <property fmtid="{D5CDD505-2E9C-101B-9397-08002B2CF9AE}" pid="4" name="KSOTemplateDocerSaveRecord">
    <vt:lpwstr>eyJoZGlkIjoiNjU1ZDBhZGYzNGE2NTBkYzJjZDhiNGY0OWI1NmQ1ZmQiLCJ1c2VySWQiOiI3MzAxOTgwNzUifQ==</vt:lpwstr>
  </property>
</Properties>
</file>